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11431" w:rsidRPr="00B0401B" w:rsidTr="003F113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11431" w:rsidRPr="00B0401B" w:rsidRDefault="001D3A67" w:rsidP="003F1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СТЕПНОЙ</w:t>
            </w:r>
            <w:r w:rsidR="00411431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  <w:r w:rsidRPr="001D3A67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411431" w:rsidRPr="00B0401B" w:rsidTr="003F1135">
        <w:trPr>
          <w:cantSplit/>
        </w:trPr>
        <w:tc>
          <w:tcPr>
            <w:tcW w:w="4465" w:type="dxa"/>
          </w:tcPr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1D3A67" w:rsidP="003F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27.11.2017г</w:t>
            </w:r>
          </w:p>
        </w:tc>
        <w:tc>
          <w:tcPr>
            <w:tcW w:w="851" w:type="dxa"/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411431" w:rsidP="003F1135">
            <w:pPr>
              <w:rPr>
                <w:sz w:val="28"/>
                <w:szCs w:val="28"/>
              </w:rPr>
            </w:pPr>
            <w:r w:rsidRPr="00B0401B">
              <w:rPr>
                <w:sz w:val="28"/>
                <w:szCs w:val="28"/>
              </w:rPr>
              <w:t xml:space="preserve"> </w:t>
            </w:r>
            <w:r w:rsidR="001D3A67">
              <w:rPr>
                <w:sz w:val="28"/>
                <w:szCs w:val="28"/>
              </w:rPr>
              <w:t xml:space="preserve">21/77 </w:t>
            </w:r>
            <w:r w:rsidRPr="00B0401B">
              <w:rPr>
                <w:sz w:val="28"/>
                <w:szCs w:val="28"/>
              </w:rPr>
              <w:t xml:space="preserve"> -</w:t>
            </w:r>
            <w:proofErr w:type="spellStart"/>
            <w:r w:rsidRPr="00B0401B">
              <w:rPr>
                <w:sz w:val="28"/>
                <w:szCs w:val="28"/>
              </w:rPr>
              <w:t>рс</w:t>
            </w:r>
            <w:proofErr w:type="spellEnd"/>
            <w:r w:rsidRPr="00B0401B">
              <w:rPr>
                <w:sz w:val="28"/>
                <w:szCs w:val="28"/>
              </w:rPr>
              <w:t>.</w:t>
            </w:r>
          </w:p>
        </w:tc>
      </w:tr>
    </w:tbl>
    <w:p w:rsidR="00AC5FBD" w:rsidRDefault="00AC5FBD" w:rsidP="00AC5FBD">
      <w:pPr>
        <w:ind w:right="4675"/>
        <w:jc w:val="both"/>
        <w:rPr>
          <w:sz w:val="28"/>
          <w:szCs w:val="28"/>
        </w:rPr>
      </w:pP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1D3A67">
        <w:rPr>
          <w:sz w:val="28"/>
          <w:szCs w:val="28"/>
        </w:rPr>
        <w:t>Степной</w:t>
      </w:r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   </w:t>
      </w:r>
    </w:p>
    <w:p w:rsidR="00AC5FBD" w:rsidRDefault="00AC5FBD" w:rsidP="00AC5FBD"/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</w:t>
      </w:r>
      <w:proofErr w:type="gramStart"/>
      <w:r>
        <w:rPr>
          <w:sz w:val="28"/>
          <w:szCs w:val="28"/>
        </w:rPr>
        <w:t xml:space="preserve">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1D3A67">
        <w:rPr>
          <w:sz w:val="28"/>
          <w:szCs w:val="28"/>
        </w:rPr>
        <w:t>Степной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1D3A67">
        <w:rPr>
          <w:sz w:val="28"/>
          <w:szCs w:val="28"/>
        </w:rPr>
        <w:t>Степной</w:t>
      </w:r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  <w:proofErr w:type="gramEnd"/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r w:rsidR="001D3A67">
        <w:rPr>
          <w:rFonts w:ascii="Times New Roman" w:hAnsi="Times New Roman" w:cs="Times New Roman"/>
          <w:i w:val="0"/>
          <w:sz w:val="28"/>
          <w:szCs w:val="28"/>
        </w:rPr>
        <w:t>Степной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AAA">
        <w:rPr>
          <w:sz w:val="28"/>
          <w:szCs w:val="28"/>
        </w:rPr>
        <w:t>Контроль за</w:t>
      </w:r>
      <w:proofErr w:type="gramEnd"/>
      <w:r w:rsidR="004A3AA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</w:t>
      </w:r>
      <w:r w:rsidR="001D3A67">
        <w:rPr>
          <w:sz w:val="28"/>
          <w:szCs w:val="28"/>
        </w:rPr>
        <w:t>иципального образования Степной</w:t>
      </w:r>
      <w:r w:rsidR="004A3AAA">
        <w:rPr>
          <w:sz w:val="28"/>
          <w:szCs w:val="28"/>
        </w:rPr>
        <w:t xml:space="preserve"> сельсовет </w:t>
      </w:r>
      <w:proofErr w:type="spellStart"/>
      <w:r w:rsidR="004A3AAA">
        <w:rPr>
          <w:sz w:val="28"/>
          <w:szCs w:val="28"/>
        </w:rPr>
        <w:t>Ташлинского</w:t>
      </w:r>
      <w:proofErr w:type="spellEnd"/>
      <w:r w:rsidR="004A3AAA">
        <w:rPr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1D3A67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right="-1" w:firstLine="568"/>
        <w:jc w:val="both"/>
        <w:rPr>
          <w:sz w:val="28"/>
          <w:szCs w:val="28"/>
        </w:rPr>
      </w:pPr>
      <w:r w:rsidRPr="001D3A67">
        <w:rPr>
          <w:sz w:val="28"/>
          <w:szCs w:val="28"/>
        </w:rPr>
        <w:t>Со дня вступления в силу настоящего решения считать утратившим</w:t>
      </w:r>
      <w:r w:rsidR="00411431" w:rsidRPr="001D3A67">
        <w:rPr>
          <w:sz w:val="28"/>
          <w:szCs w:val="28"/>
        </w:rPr>
        <w:t>и</w:t>
      </w:r>
      <w:r w:rsidRPr="001D3A67">
        <w:rPr>
          <w:sz w:val="28"/>
          <w:szCs w:val="28"/>
        </w:rPr>
        <w:t xml:space="preserve"> силу: Решение Совета депутатов от </w:t>
      </w:r>
      <w:r w:rsidR="001D3A67" w:rsidRPr="001D3A67">
        <w:rPr>
          <w:sz w:val="28"/>
          <w:szCs w:val="28"/>
        </w:rPr>
        <w:t>17.12.</w:t>
      </w:r>
      <w:r w:rsidRPr="001D3A67">
        <w:rPr>
          <w:sz w:val="28"/>
          <w:szCs w:val="28"/>
        </w:rPr>
        <w:t>2015 №</w:t>
      </w:r>
      <w:r w:rsidR="001D3A67" w:rsidRPr="001D3A67">
        <w:rPr>
          <w:sz w:val="28"/>
          <w:szCs w:val="28"/>
        </w:rPr>
        <w:t xml:space="preserve"> 14/16</w:t>
      </w:r>
      <w:r w:rsidRPr="001D3A67">
        <w:rPr>
          <w:sz w:val="28"/>
          <w:szCs w:val="28"/>
        </w:rPr>
        <w:t xml:space="preserve">-рс «Об утверждении Положения «О земельном налоге на территории муниципального образования </w:t>
      </w:r>
      <w:r w:rsidR="001D3A67" w:rsidRPr="001D3A67">
        <w:rPr>
          <w:sz w:val="28"/>
          <w:szCs w:val="28"/>
        </w:rPr>
        <w:t>Степной</w:t>
      </w:r>
      <w:r w:rsidRPr="001D3A67">
        <w:rPr>
          <w:sz w:val="28"/>
          <w:szCs w:val="28"/>
        </w:rPr>
        <w:t xml:space="preserve"> сельсовет Ташлинского района Оренбургской области»; </w:t>
      </w:r>
      <w:r w:rsidR="001D3A67" w:rsidRPr="001D3A67">
        <w:rPr>
          <w:sz w:val="28"/>
          <w:szCs w:val="28"/>
        </w:rPr>
        <w:t>в редакции от 15.03.</w:t>
      </w:r>
      <w:r w:rsidRPr="001D3A67">
        <w:rPr>
          <w:sz w:val="28"/>
          <w:szCs w:val="28"/>
        </w:rPr>
        <w:t>2016 №</w:t>
      </w:r>
      <w:r w:rsidR="001D3A67" w:rsidRPr="001D3A67">
        <w:rPr>
          <w:sz w:val="28"/>
          <w:szCs w:val="28"/>
        </w:rPr>
        <w:t xml:space="preserve"> 06/20</w:t>
      </w:r>
      <w:r w:rsidR="00DE6BAA">
        <w:rPr>
          <w:sz w:val="28"/>
          <w:szCs w:val="28"/>
        </w:rPr>
        <w:t>-рс.</w:t>
      </w:r>
    </w:p>
    <w:p w:rsidR="001D3A67" w:rsidRDefault="001D3A67" w:rsidP="001D3A67">
      <w:pPr>
        <w:pStyle w:val="a3"/>
        <w:tabs>
          <w:tab w:val="left" w:pos="851"/>
        </w:tabs>
        <w:ind w:left="568" w:right="-1"/>
        <w:jc w:val="both"/>
        <w:rPr>
          <w:sz w:val="28"/>
          <w:szCs w:val="28"/>
        </w:rPr>
      </w:pPr>
    </w:p>
    <w:p w:rsidR="004A3AAA" w:rsidRPr="001D3A67" w:rsidRDefault="004A3AAA" w:rsidP="001D3A67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1D3A67">
        <w:rPr>
          <w:sz w:val="28"/>
          <w:szCs w:val="28"/>
        </w:rPr>
        <w:t>Глава муниципального образования</w:t>
      </w:r>
      <w:r w:rsidRPr="001D3A67">
        <w:rPr>
          <w:sz w:val="28"/>
          <w:szCs w:val="28"/>
        </w:rPr>
        <w:tab/>
      </w:r>
      <w:r w:rsidRPr="001D3A67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  </w:t>
      </w:r>
      <w:r w:rsidR="00DE6BAA">
        <w:rPr>
          <w:sz w:val="28"/>
          <w:szCs w:val="28"/>
        </w:rPr>
        <w:t>Р.А.Маликов</w:t>
      </w:r>
    </w:p>
    <w:p w:rsidR="004A3AAA" w:rsidRDefault="004A3AAA" w:rsidP="004A3AAA">
      <w:pPr>
        <w:jc w:val="both"/>
        <w:rPr>
          <w:sz w:val="28"/>
          <w:szCs w:val="28"/>
        </w:rPr>
      </w:pPr>
    </w:p>
    <w:p w:rsidR="00FC5DEB" w:rsidRDefault="00FC5DEB" w:rsidP="00FC5DEB">
      <w:pPr>
        <w:jc w:val="both"/>
      </w:pPr>
      <w:r>
        <w:t>Разослано:</w:t>
      </w:r>
      <w:r w:rsidRPr="00FC5DEB">
        <w:t xml:space="preserve"> </w:t>
      </w:r>
      <w:r w:rsidRPr="004A2486">
        <w:t>финотделу,  МРИФНС России № 6 по Оренбур</w:t>
      </w:r>
      <w:r>
        <w:t xml:space="preserve">гской  области,  </w:t>
      </w:r>
      <w:r w:rsidRPr="004A2486">
        <w:t xml:space="preserve">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FC5DEB" w:rsidRDefault="00FC5DEB" w:rsidP="00FC5DEB"/>
    <w:p w:rsidR="00FC5DEB" w:rsidRDefault="00FC5DEB" w:rsidP="00FC5DEB">
      <w:pPr>
        <w:ind w:firstLine="851"/>
        <w:jc w:val="right"/>
        <w:rPr>
          <w:sz w:val="28"/>
          <w:szCs w:val="28"/>
        </w:rPr>
      </w:pPr>
    </w:p>
    <w:p w:rsidR="00FC5DEB" w:rsidRDefault="00FC5DEB" w:rsidP="00FC5D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DEB" w:rsidRDefault="00FC5DEB" w:rsidP="00FC5D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C5DEB" w:rsidRDefault="00FC5DEB" w:rsidP="00FC5D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27.11.2017 №  21/77-рс</w:t>
      </w:r>
    </w:p>
    <w:p w:rsidR="00FC5DEB" w:rsidRPr="004B31E3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FC5DEB" w:rsidRPr="00AC5FBD" w:rsidRDefault="00771068" w:rsidP="00FC5DEB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FC5DEB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FC5DEB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FC5DEB" w:rsidRPr="00117F54" w:rsidRDefault="00FC5DEB" w:rsidP="00FC5DEB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Степной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FC5DEB" w:rsidRPr="0094725D" w:rsidRDefault="00FC5DEB" w:rsidP="00FC5DEB">
      <w:pPr>
        <w:rPr>
          <w:b/>
          <w:sz w:val="28"/>
          <w:szCs w:val="28"/>
        </w:rPr>
      </w:pPr>
    </w:p>
    <w:p w:rsidR="00FC5DEB" w:rsidRPr="00AC4B0A" w:rsidRDefault="00FC5DEB" w:rsidP="00FC5DEB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FC5DEB" w:rsidRDefault="00FC5DEB" w:rsidP="00FC5DEB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r>
        <w:rPr>
          <w:sz w:val="28"/>
          <w:szCs w:val="28"/>
        </w:rPr>
        <w:t xml:space="preserve">Степной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</w:p>
    <w:p w:rsidR="00FC5DEB" w:rsidRPr="00AC4B0A" w:rsidRDefault="00FC5DEB" w:rsidP="00FC5DEB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FC5DEB" w:rsidRPr="00AC4B0A" w:rsidRDefault="00FC5DEB" w:rsidP="00FC5DEB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rFonts w:eastAsiaTheme="majorEastAsia"/>
            <w:color w:val="000000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FC5DEB" w:rsidRPr="0094725D" w:rsidRDefault="00FC5DEB" w:rsidP="00FC5DEB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</w:p>
    <w:p w:rsidR="00FC5DEB" w:rsidRPr="00611912" w:rsidRDefault="00FC5DEB" w:rsidP="00611912">
      <w:pPr>
        <w:pStyle w:val="a3"/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611912">
        <w:rPr>
          <w:b/>
          <w:sz w:val="28"/>
          <w:szCs w:val="28"/>
        </w:rPr>
        <w:t>Объект налогообложения</w:t>
      </w:r>
    </w:p>
    <w:p w:rsidR="00FC5DEB" w:rsidRPr="00AC4B0A" w:rsidRDefault="00FC5DEB" w:rsidP="00FC5DEB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r>
        <w:rPr>
          <w:sz w:val="28"/>
          <w:szCs w:val="28"/>
        </w:rPr>
        <w:t xml:space="preserve">Степной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AC4B0A">
        <w:rPr>
          <w:sz w:val="28"/>
          <w:szCs w:val="28"/>
        </w:rPr>
        <w:t>.</w:t>
      </w:r>
    </w:p>
    <w:p w:rsidR="00FC5DEB" w:rsidRPr="000E1614" w:rsidRDefault="00FC5DEB" w:rsidP="00FC5DEB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FC5DEB" w:rsidRPr="0017207C" w:rsidRDefault="00FC5DEB" w:rsidP="00FC5DEB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eastAsiaTheme="majorEastAsia" w:cs="Arial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FC5DEB" w:rsidRPr="0017207C" w:rsidRDefault="00FC5DEB" w:rsidP="00FC5DEB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eastAsiaTheme="majorEastAsia" w:cs="Arial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eastAsiaTheme="majorEastAsia" w:cs="Arial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FC5DEB" w:rsidRPr="0017207C" w:rsidRDefault="00FC5DEB" w:rsidP="00FC5DEB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FC5DEB" w:rsidRPr="000E1614" w:rsidRDefault="00FC5DEB" w:rsidP="00FC5DEB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eastAsiaTheme="majorEastAsia" w:cs="Arial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FC5DEB" w:rsidRPr="000E1614" w:rsidRDefault="00FC5DEB" w:rsidP="00FC5DEB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FC5DEB" w:rsidRPr="000E1614" w:rsidRDefault="00FC5DEB" w:rsidP="00FC5DEB">
      <w:pPr>
        <w:ind w:firstLine="709"/>
        <w:jc w:val="both"/>
      </w:pPr>
    </w:p>
    <w:p w:rsidR="00FC5DEB" w:rsidRPr="00611912" w:rsidRDefault="00FC5DEB" w:rsidP="00611912">
      <w:pPr>
        <w:pStyle w:val="a3"/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611912">
        <w:rPr>
          <w:b/>
          <w:sz w:val="28"/>
          <w:szCs w:val="28"/>
        </w:rPr>
        <w:lastRenderedPageBreak/>
        <w:t>Налоговая база и порядок ее определения</w:t>
      </w:r>
    </w:p>
    <w:p w:rsidR="00FC5DEB" w:rsidRPr="0094725D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FC5DEB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FC5DEB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FC5DEB" w:rsidRPr="0017207C" w:rsidRDefault="00FC5DEB" w:rsidP="00FC5DEB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FC5DEB" w:rsidRPr="0017207C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FC5DEB" w:rsidRPr="0017207C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FC5DEB" w:rsidRPr="0017207C" w:rsidRDefault="00FC5DEB" w:rsidP="00FC5DEB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FC5DEB" w:rsidRPr="0017207C" w:rsidRDefault="00FC5DEB" w:rsidP="00FC5DEB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FC5DEB" w:rsidRPr="0017207C" w:rsidRDefault="00FC5DEB" w:rsidP="00FC5DEB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FC5DEB" w:rsidRPr="0017207C" w:rsidRDefault="00FC5DEB" w:rsidP="00FC5DEB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lastRenderedPageBreak/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FC5DEB" w:rsidRPr="0094725D" w:rsidRDefault="00FC5DEB" w:rsidP="00FC5DEB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rFonts w:eastAsiaTheme="majorEastAsia"/>
            <w:color w:val="000000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FC5DEB" w:rsidRPr="0094725D" w:rsidRDefault="00FC5DEB" w:rsidP="00FC5DE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FC5DEB" w:rsidRPr="0094725D" w:rsidRDefault="00FC5DEB" w:rsidP="00FC5DEB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FC5DEB" w:rsidRPr="0094725D" w:rsidRDefault="00FC5DEB" w:rsidP="00FC5DEB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FC5DEB" w:rsidRPr="0094725D" w:rsidRDefault="00FC5DEB" w:rsidP="00FC5DEB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FC5DEB" w:rsidRPr="0094725D" w:rsidRDefault="00FC5DEB" w:rsidP="00FC5DEB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rFonts w:eastAsiaTheme="majorEastAsia"/>
            <w:color w:val="000000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rFonts w:eastAsiaTheme="majorEastAsia"/>
            <w:color w:val="000000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rFonts w:eastAsiaTheme="majorEastAsia"/>
            <w:color w:val="000000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rFonts w:eastAsiaTheme="majorEastAsia"/>
            <w:color w:val="000000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</w:p>
    <w:p w:rsidR="00FC5DEB" w:rsidRPr="00AC4B0A" w:rsidRDefault="00FC5DEB" w:rsidP="00611912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lastRenderedPageBreak/>
        <w:t>Особенности определения налоговой базы в отношении     земельных участков, находящихся в общей собственности</w:t>
      </w:r>
    </w:p>
    <w:p w:rsidR="00FC5DEB" w:rsidRPr="0094725D" w:rsidRDefault="00FC5DEB" w:rsidP="00FC5DEB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FC5DEB" w:rsidRPr="0094725D" w:rsidRDefault="00FC5DEB" w:rsidP="00FC5DEB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FC5DEB" w:rsidRPr="0094725D" w:rsidRDefault="00FC5DEB" w:rsidP="00FC5DEB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FC5DEB" w:rsidRPr="0094725D" w:rsidRDefault="00FC5DEB" w:rsidP="00FC5DEB">
      <w:pPr>
        <w:pStyle w:val="a5"/>
        <w:ind w:firstLine="709"/>
        <w:rPr>
          <w:b/>
          <w:szCs w:val="28"/>
        </w:rPr>
      </w:pPr>
    </w:p>
    <w:p w:rsidR="00FC5DEB" w:rsidRPr="00AC4B0A" w:rsidRDefault="00FC5DEB" w:rsidP="00611912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 w:rsidRPr="0094725D">
        <w:rPr>
          <w:b/>
          <w:szCs w:val="28"/>
        </w:rPr>
        <w:t>На</w:t>
      </w:r>
      <w:r>
        <w:rPr>
          <w:b/>
          <w:szCs w:val="28"/>
        </w:rPr>
        <w:t>логовый период. Отчетный период</w:t>
      </w:r>
    </w:p>
    <w:p w:rsidR="00FC5DEB" w:rsidRPr="0094725D" w:rsidRDefault="00FC5DEB" w:rsidP="00FC5DEB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FC5DEB" w:rsidRPr="0094725D" w:rsidRDefault="00FC5DEB" w:rsidP="00FC5DEB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FC5DEB" w:rsidRPr="0094725D" w:rsidRDefault="00FC5DEB" w:rsidP="00FC5DEB">
      <w:pPr>
        <w:pStyle w:val="a5"/>
        <w:ind w:firstLine="709"/>
        <w:jc w:val="both"/>
        <w:rPr>
          <w:szCs w:val="28"/>
        </w:rPr>
      </w:pPr>
    </w:p>
    <w:p w:rsidR="00FC5DEB" w:rsidRPr="00AC4B0A" w:rsidRDefault="00FC5DEB" w:rsidP="00611912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>
        <w:rPr>
          <w:b/>
          <w:szCs w:val="28"/>
        </w:rPr>
        <w:t>Налоговая ставка</w:t>
      </w:r>
    </w:p>
    <w:p w:rsidR="00FC5DEB" w:rsidRPr="00117F54" w:rsidRDefault="00FC5DEB" w:rsidP="00FC5DEB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 xml:space="preserve">ограниченных в обороте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lastRenderedPageBreak/>
        <w:t>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FC5DEB" w:rsidRPr="0094725D" w:rsidRDefault="00FC5DEB" w:rsidP="00FC5DEB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FC5DEB" w:rsidRPr="00611912" w:rsidRDefault="00FC5DEB" w:rsidP="00611912">
      <w:pPr>
        <w:pStyle w:val="a3"/>
        <w:numPr>
          <w:ilvl w:val="0"/>
          <w:numId w:val="5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-4"/>
          <w:sz w:val="28"/>
          <w:szCs w:val="28"/>
        </w:rPr>
      </w:pPr>
      <w:r w:rsidRPr="00611912">
        <w:rPr>
          <w:b/>
          <w:color w:val="000000"/>
          <w:spacing w:val="-4"/>
          <w:sz w:val="28"/>
          <w:szCs w:val="28"/>
        </w:rPr>
        <w:t>Налоговые льготы</w:t>
      </w:r>
    </w:p>
    <w:p w:rsidR="00FC5DEB" w:rsidRPr="004A3AAA" w:rsidRDefault="00FC5DEB" w:rsidP="00FC5DEB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 и бюджета сельского поселения </w:t>
      </w:r>
      <w:r>
        <w:rPr>
          <w:sz w:val="28"/>
          <w:szCs w:val="28"/>
        </w:rPr>
        <w:t>Степной</w:t>
      </w:r>
      <w:r w:rsidRPr="004A3AAA">
        <w:rPr>
          <w:sz w:val="28"/>
          <w:szCs w:val="28"/>
        </w:rPr>
        <w:t xml:space="preserve"> сельсовет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FC5DEB" w:rsidRPr="004A3AAA" w:rsidRDefault="00FC5DEB" w:rsidP="00FC5DEB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FC5DEB" w:rsidRPr="004A3AAA" w:rsidRDefault="00FC5DEB" w:rsidP="00FC5DEB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FC5DEB" w:rsidRDefault="00FC5DEB" w:rsidP="00FC5DEB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>
        <w:rPr>
          <w:sz w:val="28"/>
          <w:szCs w:val="28"/>
        </w:rPr>
        <w:t xml:space="preserve"> воинского долга военнослужащих;</w:t>
      </w:r>
    </w:p>
    <w:p w:rsidR="00FC5DEB" w:rsidRPr="00FC5DEB" w:rsidRDefault="00FC5DEB" w:rsidP="00FC5DEB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FC5DEB">
        <w:rPr>
          <w:sz w:val="28"/>
          <w:szCs w:val="28"/>
        </w:rPr>
        <w:t>-</w:t>
      </w:r>
      <w:r w:rsidRPr="00AC4B0A">
        <w:rPr>
          <w:color w:val="548DD4" w:themeColor="text2" w:themeTint="99"/>
          <w:sz w:val="28"/>
          <w:szCs w:val="28"/>
        </w:rPr>
        <w:t xml:space="preserve"> </w:t>
      </w:r>
      <w:r w:rsidRPr="00FC5DEB">
        <w:rPr>
          <w:sz w:val="28"/>
          <w:szCs w:val="28"/>
        </w:rPr>
        <w:t>народные дружинники, являющиеся членами  народной дружины,</w:t>
      </w:r>
      <w:r w:rsidRPr="00AC4B0A">
        <w:rPr>
          <w:color w:val="548DD4" w:themeColor="text2" w:themeTint="99"/>
          <w:sz w:val="28"/>
          <w:szCs w:val="28"/>
        </w:rPr>
        <w:t xml:space="preserve"> </w:t>
      </w:r>
      <w:r w:rsidRPr="00FC5DEB">
        <w:rPr>
          <w:sz w:val="28"/>
          <w:szCs w:val="28"/>
        </w:rPr>
        <w:t>созданной на территории сельсовета.</w:t>
      </w:r>
    </w:p>
    <w:p w:rsidR="00FC5DEB" w:rsidRPr="004A3AAA" w:rsidRDefault="00FC5DEB" w:rsidP="00FC5DEB">
      <w:pPr>
        <w:pStyle w:val="a3"/>
        <w:ind w:left="1069"/>
        <w:jc w:val="both"/>
        <w:rPr>
          <w:sz w:val="28"/>
          <w:szCs w:val="28"/>
        </w:rPr>
      </w:pPr>
    </w:p>
    <w:p w:rsidR="00FC5DEB" w:rsidRDefault="00FC5DEB" w:rsidP="00611912">
      <w:pPr>
        <w:numPr>
          <w:ilvl w:val="0"/>
          <w:numId w:val="5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1"/>
          <w:sz w:val="28"/>
          <w:szCs w:val="28"/>
        </w:rPr>
      </w:pPr>
      <w:r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FC5DEB" w:rsidRPr="00AC4B0A" w:rsidRDefault="00FC5DEB" w:rsidP="00FC5DEB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FC5DEB" w:rsidRPr="0094725D" w:rsidRDefault="00FC5DEB" w:rsidP="00FC5DEB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FC5DEB" w:rsidRPr="0094725D" w:rsidRDefault="00FC5DEB" w:rsidP="00FC5DEB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FC5DEB" w:rsidRPr="0094725D" w:rsidRDefault="00FC5DEB" w:rsidP="00FC5DEB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FC5DEB" w:rsidRPr="0094725D" w:rsidRDefault="00FC5DEB" w:rsidP="00FC5DEB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rFonts w:eastAsiaTheme="majorEastAsia"/>
            <w:color w:val="000000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FC5DEB" w:rsidRPr="0094725D" w:rsidRDefault="00FC5DEB" w:rsidP="00FC5DEB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FC5DEB" w:rsidRPr="0094725D" w:rsidRDefault="00FC5DEB" w:rsidP="00FC5DEB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FC5DEB" w:rsidRPr="0094725D" w:rsidRDefault="00FC5DEB" w:rsidP="00FC5DEB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94725D">
        <w:rPr>
          <w:sz w:val="28"/>
          <w:szCs w:val="28"/>
        </w:rPr>
        <w:t>исчисляется</w:t>
      </w:r>
      <w:proofErr w:type="gramEnd"/>
      <w:r w:rsidRPr="0094725D">
        <w:rPr>
          <w:sz w:val="28"/>
          <w:szCs w:val="28"/>
        </w:rPr>
        <w:t xml:space="preserve"> начиная с месяца открытия наследства.    </w:t>
      </w:r>
    </w:p>
    <w:p w:rsidR="00FC5DEB" w:rsidRPr="00A11899" w:rsidRDefault="00FC5DEB" w:rsidP="00FC5DEB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>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FC5DEB" w:rsidRPr="0094725D" w:rsidRDefault="00FC5DEB" w:rsidP="00FC5DEB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FC5DEB" w:rsidRDefault="00FC5DEB" w:rsidP="00FC5DEB">
      <w:pPr>
        <w:ind w:firstLine="709"/>
        <w:jc w:val="both"/>
        <w:rPr>
          <w:sz w:val="28"/>
          <w:szCs w:val="28"/>
        </w:rPr>
      </w:pPr>
    </w:p>
    <w:p w:rsidR="00A97D3B" w:rsidRPr="0094725D" w:rsidRDefault="00A97D3B" w:rsidP="00FC5DEB">
      <w:pPr>
        <w:ind w:firstLine="709"/>
        <w:jc w:val="both"/>
        <w:rPr>
          <w:sz w:val="28"/>
          <w:szCs w:val="28"/>
        </w:rPr>
      </w:pPr>
    </w:p>
    <w:p w:rsidR="00FC5DEB" w:rsidRPr="00AC4B0A" w:rsidRDefault="00FC5DEB" w:rsidP="00611912">
      <w:pPr>
        <w:numPr>
          <w:ilvl w:val="0"/>
          <w:numId w:val="5"/>
        </w:numPr>
        <w:shd w:val="clear" w:color="auto" w:fill="FFFFFF"/>
        <w:tabs>
          <w:tab w:val="left" w:pos="696"/>
        </w:tabs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lastRenderedPageBreak/>
        <w:t>Срок уплаты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</w:t>
      </w:r>
      <w:r w:rsidR="0058608F" w:rsidRPr="0058608F">
        <w:rPr>
          <w:sz w:val="28"/>
          <w:szCs w:val="28"/>
        </w:rPr>
        <w:t xml:space="preserve"> не позднее 5 числа второго месяца, следующего за истекшим отчетным периодом – 5 мая, 5 августа, 5 ноября календарного года. </w:t>
      </w:r>
      <w:r w:rsidRPr="0094725D">
        <w:rPr>
          <w:sz w:val="28"/>
          <w:szCs w:val="28"/>
        </w:rPr>
        <w:t>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rFonts w:eastAsiaTheme="majorEastAsia"/>
            <w:color w:val="000000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FC5DEB" w:rsidRPr="0094725D" w:rsidRDefault="00FC5DEB" w:rsidP="00FC5DEB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rFonts w:eastAsiaTheme="majorEastAsia"/>
            <w:color w:val="000000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rFonts w:eastAsiaTheme="majorEastAsia"/>
            <w:color w:val="000000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FC5DEB" w:rsidRPr="0094725D" w:rsidRDefault="00FC5DEB" w:rsidP="00FC5DEB">
      <w:pPr>
        <w:pStyle w:val="a7"/>
        <w:ind w:left="0" w:firstLine="709"/>
        <w:jc w:val="center"/>
        <w:rPr>
          <w:b/>
          <w:bCs/>
          <w:szCs w:val="28"/>
        </w:rPr>
      </w:pPr>
    </w:p>
    <w:p w:rsidR="00FC5DEB" w:rsidRPr="00AC4B0A" w:rsidRDefault="00FC5DEB" w:rsidP="00611912">
      <w:pPr>
        <w:pStyle w:val="a7"/>
        <w:numPr>
          <w:ilvl w:val="0"/>
          <w:numId w:val="5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Налоговая декларация</w:t>
      </w:r>
    </w:p>
    <w:p w:rsidR="00FC5DEB" w:rsidRPr="0094725D" w:rsidRDefault="00FC5DEB" w:rsidP="00FC5DEB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FC5DEB" w:rsidRPr="0094725D" w:rsidRDefault="00FC5DEB" w:rsidP="00FC5DEB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FC5DEB" w:rsidRPr="0094725D" w:rsidRDefault="00FC5DEB" w:rsidP="00FC5DEB">
      <w:pPr>
        <w:ind w:firstLine="709"/>
        <w:rPr>
          <w:sz w:val="28"/>
          <w:szCs w:val="28"/>
        </w:rPr>
      </w:pPr>
    </w:p>
    <w:p w:rsidR="00FC5DEB" w:rsidRPr="0094725D" w:rsidRDefault="00FC5DEB" w:rsidP="00FC5DEB">
      <w:pPr>
        <w:ind w:firstLine="5220"/>
        <w:rPr>
          <w:sz w:val="28"/>
          <w:szCs w:val="28"/>
        </w:rPr>
      </w:pPr>
    </w:p>
    <w:p w:rsidR="00FC5DEB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5DEB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5DEB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5DEB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5DEB" w:rsidRPr="00117F54" w:rsidRDefault="00FC5DEB" w:rsidP="00FC5DE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5DEB" w:rsidRPr="00AC5FBD" w:rsidRDefault="00FC5DEB" w:rsidP="00FC5DEB"/>
    <w:p w:rsidR="00FC5DEB" w:rsidRPr="007D5C71" w:rsidRDefault="00FC5DEB" w:rsidP="007D5C71">
      <w:pPr>
        <w:ind w:firstLine="851"/>
        <w:rPr>
          <w:sz w:val="28"/>
          <w:szCs w:val="28"/>
        </w:rPr>
      </w:pPr>
    </w:p>
    <w:sectPr w:rsidR="00FC5DEB" w:rsidRPr="007D5C71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1D3A67"/>
    <w:rsid w:val="002031A7"/>
    <w:rsid w:val="002E2EE4"/>
    <w:rsid w:val="00355593"/>
    <w:rsid w:val="00382EAD"/>
    <w:rsid w:val="00411431"/>
    <w:rsid w:val="00491314"/>
    <w:rsid w:val="004A3AAA"/>
    <w:rsid w:val="004F0659"/>
    <w:rsid w:val="005179AD"/>
    <w:rsid w:val="005725D5"/>
    <w:rsid w:val="0058144C"/>
    <w:rsid w:val="0058608F"/>
    <w:rsid w:val="005B1D43"/>
    <w:rsid w:val="00611912"/>
    <w:rsid w:val="00627007"/>
    <w:rsid w:val="00670D03"/>
    <w:rsid w:val="006B13EB"/>
    <w:rsid w:val="006F2A3E"/>
    <w:rsid w:val="00745320"/>
    <w:rsid w:val="00771068"/>
    <w:rsid w:val="007A1873"/>
    <w:rsid w:val="007A762D"/>
    <w:rsid w:val="007D5C71"/>
    <w:rsid w:val="0081762F"/>
    <w:rsid w:val="008E5402"/>
    <w:rsid w:val="009176D5"/>
    <w:rsid w:val="00923785"/>
    <w:rsid w:val="00A97D3B"/>
    <w:rsid w:val="00AC4B0A"/>
    <w:rsid w:val="00AC5FBD"/>
    <w:rsid w:val="00AD5E75"/>
    <w:rsid w:val="00B124ED"/>
    <w:rsid w:val="00C37E25"/>
    <w:rsid w:val="00C972F2"/>
    <w:rsid w:val="00CC2BA0"/>
    <w:rsid w:val="00CC3A84"/>
    <w:rsid w:val="00CD08BD"/>
    <w:rsid w:val="00DA6D8E"/>
    <w:rsid w:val="00DB09E1"/>
    <w:rsid w:val="00DB56D7"/>
    <w:rsid w:val="00DE6BAA"/>
    <w:rsid w:val="00E0169C"/>
    <w:rsid w:val="00E428F6"/>
    <w:rsid w:val="00E572B3"/>
    <w:rsid w:val="00FC5DEB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2017-11-30T07:28:00Z</cp:lastPrinted>
  <dcterms:created xsi:type="dcterms:W3CDTF">2017-11-20T12:52:00Z</dcterms:created>
  <dcterms:modified xsi:type="dcterms:W3CDTF">2017-12-22T08:49:00Z</dcterms:modified>
</cp:coreProperties>
</file>